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7C" w:rsidRDefault="000E4BD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Camblesforth Community Primary Academy </w:t>
      </w:r>
      <w:bookmarkStart w:id="0" w:name="_GoBack"/>
      <w:bookmarkEnd w:id="0"/>
      <w:r>
        <w:rPr>
          <w:b/>
          <w:sz w:val="24"/>
          <w:szCs w:val="24"/>
        </w:rPr>
        <w:t>Local Governing Board</w:t>
      </w:r>
    </w:p>
    <w:p w:rsidR="0057107C" w:rsidRDefault="000E4BD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 of Roles and Responsibilities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must be remembered that the ultimate statutory responsibility for the appropriate </w:t>
      </w:r>
      <w:r>
        <w:rPr>
          <w:sz w:val="24"/>
          <w:szCs w:val="24"/>
        </w:rPr>
        <w:t>management of the academy lies with the Trustees of Ebor Multi Academy Trust.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local governing board (LGB) acts as a sub-committee of the Trustees, fulfilling the role of the trustees, with the exceptions of those responsibilities reserved by the truste</w:t>
      </w:r>
      <w:r>
        <w:rPr>
          <w:sz w:val="24"/>
          <w:szCs w:val="24"/>
        </w:rPr>
        <w:t>es.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LGB shall consist of eight members – two elected by parents, the Headteacher (ex officio), one elected by the academy staff, and four appointed by the Trust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LGB has four key responsibilities:</w:t>
      </w:r>
    </w:p>
    <w:p w:rsidR="0057107C" w:rsidRDefault="000E4B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Improve the effectiveness of leadership and manageme</w:t>
      </w:r>
      <w:r>
        <w:rPr>
          <w:sz w:val="24"/>
          <w:szCs w:val="24"/>
        </w:rPr>
        <w:t>nt</w:t>
      </w:r>
    </w:p>
    <w:p w:rsidR="0057107C" w:rsidRDefault="000E4B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Improve the quality of teaching, learning and assessment</w:t>
      </w:r>
    </w:p>
    <w:p w:rsidR="0057107C" w:rsidRDefault="000E4B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Improve the pupil personal development, behaviour and welfare</w:t>
      </w:r>
    </w:p>
    <w:p w:rsidR="0057107C" w:rsidRDefault="000E4BD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Improve the outcomes for pupils and learners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LGB has four key roles:</w:t>
      </w:r>
    </w:p>
    <w:p w:rsidR="0057107C" w:rsidRDefault="000E4BD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strategic direction to the academy</w:t>
      </w:r>
    </w:p>
    <w:p w:rsidR="0057107C" w:rsidRDefault="000E4BD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 as a critical fri</w:t>
      </w:r>
      <w:r>
        <w:rPr>
          <w:sz w:val="24"/>
          <w:szCs w:val="24"/>
        </w:rPr>
        <w:t>end</w:t>
      </w:r>
    </w:p>
    <w:p w:rsidR="0057107C" w:rsidRDefault="000E4BD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that all expenditure represents good value for money</w:t>
      </w:r>
    </w:p>
    <w:p w:rsidR="0057107C" w:rsidRDefault="000E4BD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Promote the school in the local community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LGB shall operate under the following guidelines: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outward vision rather than internal preoccupation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Encourage equality and diversity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Concentrate of strategic guidance rather than administrative detail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Recognise the distinction between the strategic governance role and the executive operational role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that decision making is collective rather than individual (exceptions apply)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Focus</w:t>
      </w:r>
      <w:r>
        <w:rPr>
          <w:sz w:val="24"/>
          <w:szCs w:val="24"/>
        </w:rPr>
        <w:t xml:space="preserve"> on the future as well as the present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pro-active rather than re-active</w:t>
      </w:r>
    </w:p>
    <w:p w:rsidR="0057107C" w:rsidRDefault="000E4BD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Promote, at all times and through all of its actions, positive academic and social outcomes, and vibrant experiences for all pupils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 assist in the above, the LGB may convene whatev</w:t>
      </w:r>
      <w:r>
        <w:rPr>
          <w:sz w:val="24"/>
          <w:szCs w:val="24"/>
        </w:rPr>
        <w:t>er sub-committees as it deems necessary, and may invite non-governors to be part of these committees where their expertise is considered valuable.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LGB shall also nominate governors to take specific roles with respect to Health and Safety, Safeguarding,</w:t>
      </w:r>
      <w:r>
        <w:rPr>
          <w:sz w:val="24"/>
          <w:szCs w:val="24"/>
        </w:rPr>
        <w:t xml:space="preserve"> Headteacher appraisal, and Special Needs (SEND). Additionally the LGB may nominate individual governors to have specific link roles with other aspects of the curriculum, or year group, or class.</w:t>
      </w: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Additionally members of the LGB shall be involved in Headtea</w:t>
      </w:r>
      <w:r>
        <w:rPr>
          <w:sz w:val="24"/>
          <w:szCs w:val="24"/>
        </w:rPr>
        <w:t>cher and staff recruitment, except where these roles are filled as a result of redeployment or reallocation within the Trust.</w:t>
      </w:r>
    </w:p>
    <w:p w:rsidR="0057107C" w:rsidRDefault="000E4BD3">
      <w:pPr>
        <w:spacing w:line="240" w:lineRule="auto"/>
      </w:pPr>
      <w:r>
        <w:rPr>
          <w:sz w:val="24"/>
          <w:szCs w:val="24"/>
        </w:rPr>
        <w:t xml:space="preserve">Specific areas delegated to the LGB for </w:t>
      </w:r>
      <w:r>
        <w:rPr>
          <w:sz w:val="24"/>
          <w:szCs w:val="24"/>
          <w:u w:val="single"/>
        </w:rPr>
        <w:t>which the LGB is responsible</w:t>
      </w:r>
      <w:r>
        <w:rPr>
          <w:sz w:val="24"/>
          <w:szCs w:val="24"/>
        </w:rPr>
        <w:t>: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and removal of non-Trust appointed governors (staff, parent and associate)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and removal of the LGB Chair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Completion of LGB skills audit and ap</w:t>
      </w:r>
      <w:r>
        <w:rPr>
          <w:sz w:val="24"/>
          <w:szCs w:val="24"/>
        </w:rPr>
        <w:t>propriate recruitment to fill gaps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Completion of annual LGB self-review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 an annual schedule of LGB business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that the academy website is compliant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 the academy’s vision and strategy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Determine and agree academy local policies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Engage with </w:t>
      </w:r>
      <w:r>
        <w:rPr>
          <w:sz w:val="24"/>
          <w:szCs w:val="24"/>
        </w:rPr>
        <w:t>stakeholders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 key priorities against which academy progress can be measured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 the academy budget plan to ensure key priorities are met</w:t>
      </w:r>
    </w:p>
    <w:p w:rsidR="0057107C" w:rsidRDefault="000E4BD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 the arrangements for monitoring performance</w:t>
      </w:r>
    </w:p>
    <w:p w:rsidR="0057107C" w:rsidRDefault="000E4BD3">
      <w:pPr>
        <w:spacing w:line="240" w:lineRule="auto"/>
      </w:pPr>
      <w:r>
        <w:rPr>
          <w:sz w:val="24"/>
          <w:szCs w:val="24"/>
        </w:rPr>
        <w:t xml:space="preserve">Specific areas delegated to the LGB for </w:t>
      </w:r>
      <w:r>
        <w:rPr>
          <w:sz w:val="24"/>
          <w:szCs w:val="24"/>
          <w:u w:val="single"/>
        </w:rPr>
        <w:t>which the LGB shall re</w:t>
      </w:r>
      <w:r>
        <w:rPr>
          <w:sz w:val="24"/>
          <w:szCs w:val="24"/>
          <w:u w:val="single"/>
        </w:rPr>
        <w:t>commend action</w:t>
      </w:r>
      <w:r>
        <w:rPr>
          <w:sz w:val="24"/>
          <w:szCs w:val="24"/>
        </w:rPr>
        <w:t>:</w:t>
      </w:r>
    </w:p>
    <w:p w:rsidR="0057107C" w:rsidRDefault="000E4BD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and removal of Trust appointed academy governors</w:t>
      </w:r>
    </w:p>
    <w:p w:rsidR="0057107C" w:rsidRDefault="000E4BD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Academy staffing structure</w:t>
      </w:r>
    </w:p>
    <w:p w:rsidR="0057107C" w:rsidRDefault="000E4BD3">
      <w:pPr>
        <w:pStyle w:val="ListParagraph"/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 xml:space="preserve">Specific areas delegated to the LGB for </w:t>
      </w:r>
      <w:r>
        <w:rPr>
          <w:sz w:val="24"/>
          <w:szCs w:val="24"/>
          <w:u w:val="single"/>
        </w:rPr>
        <w:t>which the LGB has an advisory role</w:t>
      </w:r>
      <w:r>
        <w:rPr>
          <w:sz w:val="24"/>
          <w:szCs w:val="24"/>
        </w:rPr>
        <w:t>:</w:t>
      </w:r>
    </w:p>
    <w:p w:rsidR="0057107C" w:rsidRDefault="000E4BD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Appointment and dismissal of the academy head</w:t>
      </w:r>
    </w:p>
    <w:p w:rsidR="0057107C" w:rsidRDefault="000E4BD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Performance management of the </w:t>
      </w:r>
      <w:r>
        <w:rPr>
          <w:sz w:val="24"/>
          <w:szCs w:val="24"/>
        </w:rPr>
        <w:t>academy head</w:t>
      </w:r>
    </w:p>
    <w:p w:rsidR="0057107C" w:rsidRDefault="000E4BD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 and agree staff appraisal procedure and pay progression</w:t>
      </w:r>
    </w:p>
    <w:p w:rsidR="0057107C" w:rsidRDefault="000E4BD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robustness in benchmarking and trust-wide value for money</w:t>
      </w:r>
    </w:p>
    <w:p w:rsidR="0057107C" w:rsidRDefault="0057107C">
      <w:pPr>
        <w:spacing w:line="240" w:lineRule="auto"/>
        <w:rPr>
          <w:sz w:val="24"/>
          <w:szCs w:val="24"/>
        </w:rPr>
      </w:pPr>
    </w:p>
    <w:p w:rsidR="0057107C" w:rsidRDefault="000E4B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all cases, for the full detail and interpretation of roles and responsibilities the reader shall refer to the </w:t>
      </w:r>
      <w:r>
        <w:rPr>
          <w:sz w:val="24"/>
          <w:szCs w:val="24"/>
        </w:rPr>
        <w:t>Ebor MAT scheme of delegation, latest version.</w:t>
      </w:r>
    </w:p>
    <w:p w:rsidR="0057107C" w:rsidRDefault="0057107C">
      <w:pPr>
        <w:spacing w:line="240" w:lineRule="auto"/>
        <w:rPr>
          <w:sz w:val="24"/>
          <w:szCs w:val="24"/>
        </w:rPr>
      </w:pPr>
    </w:p>
    <w:p w:rsidR="0057107C" w:rsidRDefault="000E4BD3" w:rsidP="000E4BD3">
      <w:pPr>
        <w:spacing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Ian Fenton</w:t>
      </w:r>
    </w:p>
    <w:p w:rsidR="0057107C" w:rsidRDefault="000E4BD3" w:rsidP="000E4BD3">
      <w:pPr>
        <w:spacing w:line="240" w:lineRule="auto"/>
        <w:ind w:left="5760" w:firstLine="720"/>
      </w:pPr>
      <w:r>
        <w:rPr>
          <w:sz w:val="24"/>
          <w:szCs w:val="24"/>
        </w:rPr>
        <w:t>15</w:t>
      </w:r>
      <w:r w:rsidRPr="000E4B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</w:t>
      </w:r>
      <w:r>
        <w:rPr>
          <w:sz w:val="24"/>
          <w:szCs w:val="24"/>
        </w:rPr>
        <w:t>2019</w:t>
      </w:r>
    </w:p>
    <w:sectPr w:rsidR="0057107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BD3">
      <w:pPr>
        <w:spacing w:after="0" w:line="240" w:lineRule="auto"/>
      </w:pPr>
      <w:r>
        <w:separator/>
      </w:r>
    </w:p>
  </w:endnote>
  <w:endnote w:type="continuationSeparator" w:id="0">
    <w:p w:rsidR="00000000" w:rsidRDefault="000E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B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E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DD8"/>
    <w:multiLevelType w:val="multilevel"/>
    <w:tmpl w:val="061837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01A182C"/>
    <w:multiLevelType w:val="multilevel"/>
    <w:tmpl w:val="06FAFD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3550F76"/>
    <w:multiLevelType w:val="multilevel"/>
    <w:tmpl w:val="B1F80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9114AC"/>
    <w:multiLevelType w:val="multilevel"/>
    <w:tmpl w:val="8D300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3C8118E"/>
    <w:multiLevelType w:val="multilevel"/>
    <w:tmpl w:val="4B9AC9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07C"/>
    <w:rsid w:val="000E4BD3"/>
    <w:rsid w:val="005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Fenton</dc:creator>
  <cp:lastModifiedBy>Ian Fenton</cp:lastModifiedBy>
  <cp:revision>2</cp:revision>
  <dcterms:created xsi:type="dcterms:W3CDTF">2019-09-15T20:06:00Z</dcterms:created>
  <dcterms:modified xsi:type="dcterms:W3CDTF">2019-09-15T20:06:00Z</dcterms:modified>
</cp:coreProperties>
</file>